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Auditoria</w:t>
      </w:r>
    </w:p>
    <w:p>
      <w:pPr>
        <w:pStyle w:val="Subtitle"/>
      </w:pPr>
      <w:r>
        <w:t>Diagnóstico, gap analysis e plano de adequação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Por que auditar</w:t>
      </w:r>
    </w:p>
    <w:p>
      <w:r>
        <w:rPr/>
        <w:t>Compliance bem feito reduz risco legal, melhora postura de segurança e abre portas comerciais (clientes corporativos exigem evidência). Nossa metodologia gera relatório formal + plano de ação priorizado por risco.</w:t>
      </w:r>
    </w:p>
    <w:p>
      <w:pPr>
        <w:pStyle w:val="Heading1"/>
      </w:pPr>
      <w:r>
        <w:t>Escopo do trabalho</w:t>
      </w:r>
    </w:p>
    <w:p>
      <w:pPr>
        <w:pStyle w:val="ListBullet"/>
      </w:pPr>
      <w:r>
        <w:t>Kick-off e mapeamento de processos críticos</w:t>
      </w:r>
    </w:p>
    <w:p>
      <w:pPr>
        <w:pStyle w:val="ListBullet"/>
      </w:pPr>
      <w:r>
        <w:t>Coleta de evidências (entrevistas, revisão documental, walk-throughs)</w:t>
      </w:r>
    </w:p>
    <w:p>
      <w:pPr>
        <w:pStyle w:val="ListBullet"/>
      </w:pPr>
      <w:r>
        <w:t>Análise de gaps vs framework escolhido (LGPD / SOC 2 / ISO 27001)</w:t>
      </w:r>
    </w:p>
    <w:p>
      <w:pPr>
        <w:pStyle w:val="ListBullet"/>
      </w:pPr>
      <w:r>
        <w:t>Relatório executivo + relatório técnico detalhado</w:t>
      </w:r>
    </w:p>
    <w:p>
      <w:pPr>
        <w:pStyle w:val="ListBullet"/>
      </w:pPr>
      <w:r>
        <w:t>Plano de adequação priorizado por risco × esforço</w:t>
      </w:r>
    </w:p>
    <w:p>
      <w:pPr>
        <w:pStyle w:val="ListBullet"/>
      </w:pPr>
      <w:r>
        <w:t>Apresentação dos achados para C-level</w:t>
      </w:r>
    </w:p>
    <w:p>
      <w:pPr>
        <w:pStyle w:val="ListBullet"/>
      </w:pPr>
      <w:r>
        <w:t>Sessão de acompanhamento 90 dias após entrega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Auditoria completa (8 semanas)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R$ 65.000,00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R$ 65.000,00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R$ 65.000,00</w:t>
            </w:r>
          </w:p>
        </w:tc>
      </w:tr>
    </w:tbl>
    <w:p>
      <w:r>
        <w:t>Pagamento em 4 parcelas: 25% × kick-off + 3 marcos quinzenais.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NDA bilateral assinado antes do kick-off</w:t>
      </w:r>
    </w:p>
    <w:p>
      <w:pPr>
        <w:pStyle w:val="ListBullet"/>
      </w:pPr>
      <w:r>
        <w:rPr/>
        <w:t>Cliente designa um sponsor executivo e um champion técnico</w:t>
      </w:r>
    </w:p>
    <w:p>
      <w:pPr>
        <w:pStyle w:val="ListBullet"/>
      </w:pPr>
      <w:r>
        <w:rPr/>
        <w:t>Relatórios são propriedade do cliente após pagamento integral</w:t>
      </w:r>
    </w:p>
    <w:p>
      <w:pPr>
        <w:pStyle w:val="ListBullet"/>
      </w:pPr>
      <w:r>
        <w:rPr/>
        <w:t>Validade: 30 dias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