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Programa de Mentoria Executiva</w:t>
      </w:r>
    </w:p>
    <w:p>
      <w:pPr>
        <w:pStyle w:val="Subtitle"/>
      </w:pPr>
      <w:r>
        <w:t>Pacote 1:1 com objetivos de desenvolvimento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Como funciona</w:t>
      </w:r>
    </w:p>
    <w:p>
      <w:r>
        <w:rPr/>
        <w:t>12 sessões quinzenais de 1h, focadas em metas concretas (liderança, tomada de decisão, gestão de stakeholders). Cada sessão é antecedida por um briefing curto e seguida por exercícios práticos.</w:t>
      </w:r>
    </w:p>
    <w:p>
      <w:pPr>
        <w:pStyle w:val="Heading1"/>
      </w:pPr>
      <w:r>
        <w:t>Estrutura do programa</w:t>
      </w:r>
    </w:p>
    <w:p>
      <w:pPr>
        <w:pStyle w:val="ListBullet"/>
      </w:pPr>
      <w:r>
        <w:t>Sessão 0: assessment (DISC ou similar) + definição de OKRs pessoais</w:t>
      </w:r>
    </w:p>
    <w:p>
      <w:pPr>
        <w:pStyle w:val="ListBullet"/>
      </w:pPr>
      <w:r>
        <w:t>12 sessões quinzenais de 60 min (vídeo)</w:t>
      </w:r>
    </w:p>
    <w:p>
      <w:pPr>
        <w:pStyle w:val="ListBullet"/>
      </w:pPr>
      <w:r>
        <w:t>Exercícios práticos entre sessões</w:t>
      </w:r>
    </w:p>
    <w:p>
      <w:pPr>
        <w:pStyle w:val="ListBullet"/>
      </w:pPr>
      <w:r>
        <w:t>Acesso a biblioteca de leituras e cases curados</w:t>
      </w:r>
    </w:p>
    <w:p>
      <w:pPr>
        <w:pStyle w:val="ListBullet"/>
      </w:pPr>
      <w:r>
        <w:t>Sessão de fechamento: avaliação 360° + plano de continuidade</w:t>
      </w:r>
    </w:p>
    <w:p>
      <w:pPr>
        <w:pStyle w:val="ListBullet"/>
      </w:pPr>
      <w:r>
        <w:t>Confidencialidade absoluta sobre conteúdo das sessões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Programa completo — 12 sessões + assessment + fechamento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programa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R$ 18.000,00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R$ 18.000,00</w:t>
            </w:r>
          </w:p>
        </w:tc>
      </w:tr>
    </w:tbl>
    <w:p>
      <w:r>
        <w:t>Pagamento em 6 parcelas mensais sem juros (boleto ou cartão).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Sessões podem ser remarcadas com 24h de antecedência</w:t>
      </w:r>
    </w:p>
    <w:p>
      <w:pPr>
        <w:pStyle w:val="ListBullet"/>
      </w:pPr>
      <w:r>
        <w:rPr/>
        <w:t>No-show sem aviso conta como sessão consumida</w:t>
      </w:r>
    </w:p>
    <w:p>
      <w:pPr>
        <w:pStyle w:val="ListBullet"/>
      </w:pPr>
      <w:r>
        <w:rPr/>
        <w:t>Programa válido por 8 meses a partir do aceite</w:t>
      </w:r>
    </w:p>
    <w:p>
      <w:pPr>
        <w:pStyle w:val="ListBullet"/>
      </w:pPr>
      <w:r>
        <w:rPr/>
        <w:t>Confidencialidade preservada mesmo após o fim do programa</w:t>
      </w:r>
    </w:p>
    <w:p>
      <w:pPr>
        <w:pStyle w:val="Heading1"/>
      </w:pPr>
      <w:r>
        <w:t>Perguntas frequentes</w:t>
      </w:r>
    </w:p>
    <w:p>
      <w:r>
        <w:rPr>
          <w:b/>
        </w:rPr>
        <w:t>Qual a forma de pagamento?</w:t>
      </w:r>
    </w:p>
    <w:p>
      <w:r>
        <w:t>Conforme detalhado no bloco de condições comerciais desta proposta. Aceitamos boleto, transferência e cartão.</w:t>
      </w:r>
    </w:p>
    <w:p>
      <w:r>
        <w:rPr>
          <w:b/>
        </w:rPr>
        <w:t>Existe contrato adicional?</w:t>
      </w:r>
    </w:p>
    <w:p>
      <w:r>
        <w:t>Esta proposta serve como instrumento contratual. Se preferir um contrato em separado, podemos formalizar antes do início.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