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Proposta de Serviços Gerenciados</w:t>
      </w:r>
    </w:p>
    <w:p>
      <w:pPr>
        <w:pStyle w:val="Subtitle"/>
      </w:pPr>
      <w:r>
        <w:t>Operação 24x7 de monitoramento e resposta</w:t>
      </w:r>
    </w:p>
    <w:p>
      <w:r>
        <w:t>Cliente: Nome do cliente</w:t>
      </w:r>
    </w:p>
    <w:p>
      <w:r>
        <w:t>Empresa: Sua empresa</w:t>
      </w:r>
    </w:p>
    <w:p>
      <w:r>
        <w:t>Data: ___/___/______</w:t>
      </w:r>
    </w:p>
    <w:p>
      <w:r>
        <w:t>Validade: ___ dias</w:t>
      </w:r>
    </w:p>
    <w:p>
      <w:pPr>
        <w:pStyle w:val="Heading1"/>
      </w:pPr>
      <w:r>
        <w:t>Por que isso importa</w:t>
      </w:r>
    </w:p>
    <w:p>
      <w:r>
        <w:rPr/>
        <w:t>Ataques avançados não dão hora. Nosso SOC opera 24x7 com analistas Tier 1/2/3, EDR/MDR de mercado e playbooks alinhados ao MITRE ATT&amp;CK. Você ganha visibilidade sobre o ambiente sem precisar montar squad interno.</w:t>
      </w:r>
    </w:p>
    <w:p>
      <w:pPr>
        <w:pStyle w:val="Heading1"/>
      </w:pPr>
      <w:r>
        <w:t>O que está incluso</w:t>
      </w:r>
    </w:p>
    <w:p>
      <w:pPr>
        <w:pStyle w:val="ListBullet"/>
      </w:pPr>
      <w:r>
        <w:t>SOC 24x7 com triagem em até 15 min (P1)</w:t>
      </w:r>
    </w:p>
    <w:p>
      <w:pPr>
        <w:pStyle w:val="ListBullet"/>
      </w:pPr>
      <w:r>
        <w:t>MDR sobre EDR (Sentinel/CrowdStrike/SentinelOne)</w:t>
      </w:r>
    </w:p>
    <w:p>
      <w:pPr>
        <w:pStyle w:val="ListBullet"/>
      </w:pPr>
      <w:r>
        <w:t>Threat Hunting mensal proativo</w:t>
      </w:r>
    </w:p>
    <w:p>
      <w:pPr>
        <w:pStyle w:val="ListBullet"/>
      </w:pPr>
      <w:r>
        <w:t>Resposta a incidentes inclusa (até 40h/mês)</w:t>
      </w:r>
    </w:p>
    <w:p>
      <w:pPr>
        <w:pStyle w:val="ListBullet"/>
      </w:pPr>
      <w:r>
        <w:t>Reports executivos mensais + war room trimestral</w:t>
      </w:r>
    </w:p>
    <w:p>
      <w:pPr>
        <w:pStyle w:val="ListBullet"/>
      </w:pPr>
      <w:r>
        <w:t>Pentest interno anual</w:t>
      </w:r>
    </w:p>
    <w:p>
      <w:pPr>
        <w:pStyle w:val="Heading1"/>
      </w:pPr>
      <w:r>
        <w:t>Investimento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rPr>
                <w:b/>
              </w:rPr>
              <w:t>Descrição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Qtd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Valor unitário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Total</w:t>
            </w:r>
          </w:p>
        </w:tc>
      </w:tr>
      <w:tr>
        <w:tc>
          <w:tcPr>
            <w:tcW w:type="dxa" w:w="2160"/>
          </w:tcPr>
          <w:p>
            <w:r>
              <w:t>Onboarding e setup (one-time)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1 projeto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R$ 12.000,00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R$ 12.000,00</w:t>
            </w:r>
          </w:p>
        </w:tc>
      </w:tr>
      <w:tr>
        <w:tc>
          <w:tcPr>
            <w:tcW w:type="dxa" w:w="2160"/>
          </w:tcPr>
          <w:p>
            <w:r>
              <w:t>SOC 24x7 + MDR — até 250 endpoints /mês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1 mês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R$ 18.500,00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R$ 18.500,00</w:t>
            </w:r>
          </w:p>
        </w:tc>
      </w:tr>
      <w:tr>
        <w:tc>
          <w:tcPr>
            <w:tcW w:type="dxa" w:w="2160"/>
          </w:tcPr>
          <w:p>
            <w:r>
              <w:t>Mensalidade</w:t>
            </w:r>
          </w:p>
        </w:tc>
        <w:tc>
          <w:tcPr>
            <w:tcW w:type="dxa" w:w="2160"/>
          </w:tcPr>
          <w:p>
            <w:pPr>
              <w:jc w:val="right"/>
            </w:pPr>
            <w:r/>
          </w:p>
        </w:tc>
        <w:tc>
          <w:tcPr>
            <w:tcW w:type="dxa" w:w="2160"/>
          </w:tcPr>
          <w:p>
            <w:pPr>
              <w:jc w:val="right"/>
            </w:pPr>
            <w:r/>
          </w:p>
        </w:tc>
        <w:tc>
          <w:tcPr>
            <w:tcW w:type="dxa" w:w="2160"/>
          </w:tcPr>
          <w:p>
            <w:pPr>
              <w:jc w:val="right"/>
            </w:pPr>
            <w:r>
              <w:t>R$ 18.500,00/mês</w:t>
            </w:r>
          </w:p>
        </w:tc>
      </w:tr>
      <w:tr>
        <w:tc>
          <w:tcPr>
            <w:tcW w:type="dxa" w:w="2160"/>
          </w:tcPr>
          <w:p>
            <w:r>
              <w:t>Pagamento único</w:t>
            </w:r>
          </w:p>
        </w:tc>
        <w:tc>
          <w:tcPr>
            <w:tcW w:type="dxa" w:w="2160"/>
          </w:tcPr>
          <w:p>
            <w:pPr>
              <w:jc w:val="right"/>
            </w:pPr>
            <w:r/>
          </w:p>
        </w:tc>
        <w:tc>
          <w:tcPr>
            <w:tcW w:type="dxa" w:w="2160"/>
          </w:tcPr>
          <w:p>
            <w:pPr>
              <w:jc w:val="right"/>
            </w:pPr>
            <w:r/>
          </w:p>
        </w:tc>
        <w:tc>
          <w:tcPr>
            <w:tcW w:type="dxa" w:w="2160"/>
          </w:tcPr>
          <w:p>
            <w:pPr>
              <w:jc w:val="right"/>
            </w:pPr>
            <w:r>
              <w:t>R$ 12.000,00</w:t>
            </w:r>
          </w:p>
        </w:tc>
      </w:tr>
      <w:tr>
        <w:tc>
          <w:tcPr>
            <w:tcW w:type="dxa" w:w="2160"/>
          </w:tcPr>
          <w:p>
            <w:r>
              <w:t>Prazo do contrato</w:t>
            </w:r>
          </w:p>
        </w:tc>
        <w:tc>
          <w:tcPr>
            <w:tcW w:type="dxa" w:w="2160"/>
          </w:tcPr>
          <w:p>
            <w:pPr>
              <w:jc w:val="right"/>
            </w:pPr>
            <w:r/>
          </w:p>
        </w:tc>
        <w:tc>
          <w:tcPr>
            <w:tcW w:type="dxa" w:w="2160"/>
          </w:tcPr>
          <w:p>
            <w:pPr>
              <w:jc w:val="right"/>
            </w:pPr>
            <w:r/>
          </w:p>
        </w:tc>
        <w:tc>
          <w:tcPr>
            <w:tcW w:type="dxa" w:w="2160"/>
          </w:tcPr>
          <w:p>
            <w:pPr>
              <w:jc w:val="right"/>
            </w:pPr>
            <w:r>
              <w:t>12 meses</w:t>
            </w:r>
          </w:p>
        </w:tc>
      </w:tr>
      <w:tr>
        <w:tc>
          <w:tcPr>
            <w:tcW w:type="dxa" w:w="2160"/>
          </w:tcPr>
          <w:p>
            <w:r>
              <w:rPr>
                <w:b/>
              </w:rPr>
              <w:t>Valor total do contrato (12 meses)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rPr>
                <w:b/>
              </w:rPr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rPr>
                <w:b/>
              </w:rPr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rPr>
                <w:b/>
              </w:rPr>
              <w:t>R$ 234.000,00</w:t>
            </w:r>
          </w:p>
        </w:tc>
      </w:tr>
    </w:tbl>
    <w:p>
      <w:r>
        <w:t>Inclui licenciamento EDR. Endpoints adicionais: R$ 60/endpoint/mês.</w:t>
      </w:r>
    </w:p>
    <w:p>
      <w:pPr>
        <w:pStyle w:val="Heading1"/>
      </w:pPr>
      <w:r>
        <w:t>Condições contratuais</w:t>
      </w:r>
    </w:p>
    <w:p>
      <w:pPr>
        <w:pStyle w:val="ListBullet"/>
      </w:pPr>
      <w:r>
        <w:rPr/>
        <w:t>Vigência mínima: 24 meses</w:t>
      </w:r>
    </w:p>
    <w:p>
      <w:pPr>
        <w:pStyle w:val="ListBullet"/>
      </w:pPr>
      <w:r>
        <w:rPr/>
        <w:t>SLA P1 (incidente crítico): resposta em 15 min, contenção em 1h</w:t>
      </w:r>
    </w:p>
    <w:p>
      <w:pPr>
        <w:pStyle w:val="ListBullet"/>
      </w:pPr>
      <w:r>
        <w:rPr/>
        <w:t>Cláusula de confidencialidade e LGPD anexas</w:t>
      </w:r>
    </w:p>
    <w:p>
      <w:pPr>
        <w:pStyle w:val="ListBullet"/>
      </w:pPr>
      <w:r>
        <w:rPr/>
        <w:t>Validade desta proposta: 15 dias</w:t>
      </w:r>
    </w:p>
    <w:p>
      <w:pPr>
        <w:pStyle w:val="Heading1"/>
      </w:pPr>
      <w:r>
        <w:t>Perguntas frequentes</w:t>
      </w:r>
    </w:p>
    <w:p>
      <w:r>
        <w:rPr>
          <w:b/>
        </w:rPr>
        <w:t>Qual a forma de pagamento?</w:t>
      </w:r>
    </w:p>
    <w:p>
      <w:r>
        <w:t>Conforme detalhado no bloco de condições comerciais desta proposta. Aceitamos boleto, transferência e cartão.</w:t>
      </w:r>
    </w:p>
    <w:p>
      <w:r>
        <w:rPr>
          <w:b/>
        </w:rPr>
        <w:t>Existe contrato adicional?</w:t>
      </w:r>
    </w:p>
    <w:p>
      <w:r>
        <w:t>Esta proposta serve como instrumento contratual. Se preferir um contrato em separado, podemos formalizar antes do início.</w:t>
      </w:r>
    </w:p>
    <w:p>
      <w:r>
        <w:br w:type="page"/>
      </w:r>
    </w:p>
    <w:p>
      <w:pPr>
        <w:pStyle w:val="Heading1"/>
      </w:pPr>
      <w:r>
        <w:t>Aceite</w:t>
      </w:r>
    </w:p>
    <w:p>
      <w:r>
        <w:t>Ao assinar, formaliza-se a contratação dos serviços gerenciados.</w:t>
      </w:r>
    </w:p>
    <w:p>
      <w:r>
        <w:br/>
        <w:br/>
        <w:t>______________________________________</w:t>
      </w:r>
    </w:p>
    <w:p>
      <w:r>
        <w:t>Cliente</w:t>
      </w:r>
    </w:p>
    <w:p>
      <w:r>
        <w:t>Data: ___/___/______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4A3B8"/>
        <w:sz w:val="16"/>
      </w:rPr>
      <w:t>Modelo criado com FechaFácil · fechafacil.app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