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Treinamento Corporativo</w:t>
      </w:r>
    </w:p>
    <w:p>
      <w:pPr>
        <w:pStyle w:val="Subtitle"/>
      </w:pPr>
      <w:r>
        <w:t>Capacitação personalizada para o seu time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Sobre o programa</w:t>
      </w:r>
    </w:p>
    <w:p>
      <w:r>
        <w:rPr/>
        <w:t>Nossos treinamentos combinam teoria objetiva e exercícios aplicados ao contexto da empresa. Cada participante sai com um plano de ação para os primeiros 30 dias após o curso.</w:t>
      </w:r>
    </w:p>
    <w:p>
      <w:pPr>
        <w:pStyle w:val="Heading1"/>
      </w:pPr>
      <w:r>
        <w:t>Estrutura do programa</w:t>
      </w:r>
    </w:p>
    <w:p>
      <w:pPr>
        <w:pStyle w:val="ListBullet"/>
      </w:pPr>
      <w:r>
        <w:t>Diagnóstico inicial: entrevistas com gestores + survey</w:t>
      </w:r>
    </w:p>
    <w:p>
      <w:pPr>
        <w:pStyle w:val="ListBullet"/>
      </w:pPr>
      <w:r>
        <w:t>32h de aula (8 encontros de 4h, online ou presencial)</w:t>
      </w:r>
    </w:p>
    <w:p>
      <w:pPr>
        <w:pStyle w:val="ListBullet"/>
      </w:pPr>
      <w:r>
        <w:t>Material didático personalizado por participante</w:t>
      </w:r>
    </w:p>
    <w:p>
      <w:pPr>
        <w:pStyle w:val="ListBullet"/>
      </w:pPr>
      <w:r>
        <w:t>Estudos de caso baseados na realidade do cliente</w:t>
      </w:r>
    </w:p>
    <w:p>
      <w:pPr>
        <w:pStyle w:val="ListBullet"/>
      </w:pPr>
      <w:r>
        <w:t>Mentoria pós-treinamento: 4 sessões em grupo (2 meses)</w:t>
      </w:r>
    </w:p>
    <w:p>
      <w:pPr>
        <w:pStyle w:val="ListBullet"/>
      </w:pPr>
      <w:r>
        <w:t>Certificado de conclusão e relatório de progresso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Programa completo — turma de até 20 pessoas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turma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R$ 48.000,00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R$ 48.000,00</w:t>
            </w:r>
          </w:p>
        </w:tc>
      </w:tr>
      <w:tr>
        <w:tc>
          <w:tcPr>
            <w:tcW w:type="dxa" w:w="2160"/>
          </w:tcPr>
          <w:p>
            <w:r>
              <w:t>Participante adicional (acima de 20)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pessoa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R$ 950,00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R$ 950,00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R$ 48.950,00</w:t>
            </w:r>
          </w:p>
        </w:tc>
      </w:tr>
    </w:tbl>
    <w:p>
      <w:r>
        <w:t>Pagamento em 2 parcelas: 50% aceite + 50% último encontro.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Frequência mínima recomendada: 75% para certificação</w:t>
      </w:r>
    </w:p>
    <w:p>
      <w:pPr>
        <w:pStyle w:val="ListBullet"/>
      </w:pPr>
      <w:r>
        <w:rPr/>
        <w:t>Material gravado fica disponível por 12 meses</w:t>
      </w:r>
    </w:p>
    <w:p>
      <w:pPr>
        <w:pStyle w:val="ListBullet"/>
      </w:pPr>
      <w:r>
        <w:rPr/>
        <w:t>Cancelamento até 7 dias antes do início: reembolso integral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 desta proposta. Aceitamos boleto, transferência e cartão.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